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9D79A4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9D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21.12.1994 № 68-ФЗ                        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решение Координационного совета при Правительстве Российской Федерации по борьбе                                 с распространением новой коронавирусной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 по Красноярскому краю от 27.03.2020 № 24-00-17/02-3809-202, руководствуясь статьёй 81 Устава Саянского муниципального района, ПОСТАНОВЛЯЮ:</w:t>
      </w:r>
    </w:p>
    <w:p w:rsidR="008F2C1C" w:rsidRDefault="008F2C1C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Временно приостановить:</w:t>
      </w:r>
    </w:p>
    <w:p w:rsidR="008F2C1C" w:rsidRDefault="008F2C1C" w:rsidP="008F2C1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проведение на территории Саянского района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r>
        <w:rPr>
          <w:color w:val="000000"/>
          <w:sz w:val="28"/>
          <w:szCs w:val="28"/>
        </w:rPr>
        <w:lastRenderedPageBreak/>
        <w:t>торгово-развлекательных центрах,      на аттракционах и в иных местах массового посещения граждан;</w:t>
      </w:r>
    </w:p>
    <w:p w:rsidR="008F2C1C" w:rsidRDefault="00B86DA2" w:rsidP="008F2C1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F2C1C">
        <w:rPr>
          <w:color w:val="000000"/>
          <w:sz w:val="28"/>
          <w:szCs w:val="28"/>
        </w:rPr>
        <w:t>2) посещение гражданами зданий, строений, сооружений (помещений</w:t>
      </w:r>
      <w:r>
        <w:rPr>
          <w:color w:val="000000"/>
          <w:sz w:val="28"/>
          <w:szCs w:val="28"/>
        </w:rPr>
        <w:t xml:space="preserve"> </w:t>
      </w:r>
      <w:r w:rsidR="008F2C1C">
        <w:rPr>
          <w:color w:val="000000"/>
          <w:sz w:val="28"/>
          <w:szCs w:val="28"/>
        </w:rPr>
        <w:t>в них), предназначенных преимущественно для проведения указанных мероприятий (оказания услуг), в том числе дискотек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86DA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Приостановить с 28 марта 2020 года по 5 апреля 2020 года:</w:t>
      </w:r>
    </w:p>
    <w:p w:rsidR="008F2C1C" w:rsidRDefault="00B86DA2" w:rsidP="00B86DA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F2C1C">
        <w:rPr>
          <w:color w:val="000000"/>
          <w:sz w:val="28"/>
          <w:szCs w:val="28"/>
        </w:rPr>
        <w:t>1) работу кафе, столовых, буфетов, баров, закусочных и иных предприятий общественного питания, за исключением обслуживания на вынос</w:t>
      </w:r>
      <w:r>
        <w:rPr>
          <w:color w:val="000000"/>
          <w:sz w:val="28"/>
          <w:szCs w:val="28"/>
        </w:rPr>
        <w:t xml:space="preserve"> </w:t>
      </w:r>
      <w:r w:rsidR="008F2C1C">
        <w:rPr>
          <w:color w:val="000000"/>
          <w:sz w:val="28"/>
          <w:szCs w:val="28"/>
        </w:rPr>
        <w:t xml:space="preserve">без посещения гражданами таких предприятий, а также доставки заказов. 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 (санитарно-гигиеническая маска, антисептик для рук, салфетки влажные, салфетки сухие, мыло туалетное, мыло хозяйственное, паста зубная, щетка зубная, бумага туалетная, гигиенически прокладки, стиральный порошок, подгузники детские, с</w:t>
      </w:r>
      <w:r w:rsidR="00B86DA2">
        <w:rPr>
          <w:color w:val="000000"/>
          <w:sz w:val="28"/>
          <w:szCs w:val="28"/>
        </w:rPr>
        <w:t xml:space="preserve">пички (коробок), свечи, пеленка </w:t>
      </w:r>
      <w:r>
        <w:rPr>
          <w:color w:val="000000"/>
          <w:sz w:val="28"/>
          <w:szCs w:val="28"/>
        </w:rPr>
        <w:t>для новорожденного, шампунь детский, крем от опрелостей детский, бутылочка для кормления, соска-пустышка, бензин автомобильный, дизельное топливо), продажи товаров дистанционным способом, в том числе с условием доставки;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86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86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работу кружков и секций, проведе</w:t>
      </w:r>
      <w:r w:rsidR="00B86DA2">
        <w:rPr>
          <w:color w:val="000000"/>
          <w:sz w:val="28"/>
          <w:szCs w:val="28"/>
        </w:rPr>
        <w:t xml:space="preserve">ние иных досуговых мероприятий </w:t>
      </w:r>
      <w:r>
        <w:rPr>
          <w:color w:val="000000"/>
          <w:sz w:val="28"/>
          <w:szCs w:val="28"/>
        </w:rPr>
        <w:t>в цен</w:t>
      </w:r>
      <w:r w:rsidR="00B86DA2">
        <w:rPr>
          <w:color w:val="000000"/>
          <w:sz w:val="28"/>
          <w:szCs w:val="28"/>
        </w:rPr>
        <w:t xml:space="preserve">трах социального обслуживания и </w:t>
      </w:r>
      <w:r>
        <w:rPr>
          <w:color w:val="000000"/>
          <w:sz w:val="28"/>
          <w:szCs w:val="28"/>
        </w:rPr>
        <w:t>организаций культурно-досугового типа;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</w:t>
      </w:r>
      <w:r w:rsidR="00B86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работу бассейнов, фитнес-центров (фитнес-залов) и других объектов физической культуры и спорта с  массовым посещением людей, в том числе секций (кружков);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оказание стоматологических ус</w:t>
      </w:r>
      <w:r w:rsidR="00B86DA2">
        <w:rPr>
          <w:color w:val="000000"/>
          <w:sz w:val="28"/>
          <w:szCs w:val="28"/>
        </w:rPr>
        <w:t xml:space="preserve">луг, за исключением заболеваний </w:t>
      </w:r>
      <w:r>
        <w:rPr>
          <w:color w:val="000000"/>
          <w:sz w:val="28"/>
          <w:szCs w:val="28"/>
        </w:rPr>
        <w:t>и состояний требующих оказание стоматологической помощи в экстренной  или неотложной форме;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B86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дискотек и иных аналогичных объектов, развлекательных центров, иных развлекательных и досуговых заведений;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B86DA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работу детских садов и групп дневного пребывания;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B86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организации, осуществляющие предпринимательскую деятельность в сфере переработки древесины с привлечение иностранной рабочей силы.</w:t>
      </w:r>
    </w:p>
    <w:p w:rsidR="008F2C1C" w:rsidRDefault="008F2C1C" w:rsidP="00B86DA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Органам местного самоуправления муниципальных образований </w:t>
      </w:r>
      <w:r w:rsidR="00B86DA2">
        <w:rPr>
          <w:color w:val="000000"/>
          <w:sz w:val="28"/>
          <w:szCs w:val="28"/>
        </w:rPr>
        <w:t>Саянского</w:t>
      </w:r>
      <w:r>
        <w:rPr>
          <w:color w:val="000000"/>
          <w:sz w:val="28"/>
          <w:szCs w:val="28"/>
        </w:rPr>
        <w:t xml:space="preserve"> района во взаимодействии с территориальными органами федеральных органов государственной власти (по компетенции) обеспечить контроль за исполнением на территории </w:t>
      </w:r>
      <w:r w:rsidR="00B86DA2">
        <w:rPr>
          <w:color w:val="000000"/>
          <w:sz w:val="28"/>
          <w:szCs w:val="28"/>
        </w:rPr>
        <w:t>Саянского</w:t>
      </w:r>
      <w:r>
        <w:rPr>
          <w:color w:val="000000"/>
          <w:sz w:val="28"/>
          <w:szCs w:val="28"/>
        </w:rPr>
        <w:t xml:space="preserve"> района гражданами и организациями ограничений, предусмотренных пунктами 1, 2 настоящего постановления. </w:t>
      </w:r>
    </w:p>
    <w:p w:rsidR="00342F32" w:rsidRPr="00B86DA2" w:rsidRDefault="00B86DA2" w:rsidP="00B86DA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».</w:t>
      </w:r>
    </w:p>
    <w:p w:rsidR="00342F32" w:rsidRPr="00B86DA2" w:rsidRDefault="00B86DA2" w:rsidP="00B8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42F32" w:rsidRPr="00342F32" w:rsidRDefault="00342F32" w:rsidP="00B86DA2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BB3CDB" w:rsidRPr="00625221" w:rsidRDefault="00BB3CDB" w:rsidP="00B8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C806B4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5221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42F32"/>
    <w:rsid w:val="00496241"/>
    <w:rsid w:val="005655AC"/>
    <w:rsid w:val="00625221"/>
    <w:rsid w:val="00663242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8056C8"/>
    <w:rsid w:val="008F2C1C"/>
    <w:rsid w:val="009263D1"/>
    <w:rsid w:val="009B5B3F"/>
    <w:rsid w:val="009D79A4"/>
    <w:rsid w:val="00A108A1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D92773"/>
    <w:rsid w:val="00DE10FD"/>
    <w:rsid w:val="00ED045F"/>
    <w:rsid w:val="00EF6B3A"/>
    <w:rsid w:val="00F86041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Saprunova</cp:lastModifiedBy>
  <cp:revision>3</cp:revision>
  <cp:lastPrinted>2020-03-30T01:34:00Z</cp:lastPrinted>
  <dcterms:created xsi:type="dcterms:W3CDTF">2020-03-30T01:51:00Z</dcterms:created>
  <dcterms:modified xsi:type="dcterms:W3CDTF">2020-03-31T02:29:00Z</dcterms:modified>
</cp:coreProperties>
</file>